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D3BEF" w14:textId="471CEE49" w:rsidR="0064509A" w:rsidRDefault="0064509A" w:rsidP="0064509A">
      <w:r>
        <w:t>The following guidance will help you in collaboration with children, young people and families to assess whether a request to Young People</w:t>
      </w:r>
      <w:r w:rsidR="00FC667E">
        <w:t xml:space="preserve"> </w:t>
      </w:r>
      <w:r>
        <w:t>Cornwall</w:t>
      </w:r>
      <w:r w:rsidR="00FC667E">
        <w:t>’s</w:t>
      </w:r>
      <w:r>
        <w:t xml:space="preserve"> Children’s Wellbeing Practitioners (low intensity CBT) is appropriate.</w:t>
      </w:r>
    </w:p>
    <w:p w14:paraId="3F0188C8" w14:textId="4069A119" w:rsidR="0064509A" w:rsidRDefault="0064509A" w:rsidP="008A1BAD">
      <w:r>
        <w:t>Low Intensity Cognitive Behavioural Therapy (LI-CBT) is suitable for those children and young people who are aware of their cognitive abilities e.g. accessing thoughts and are motivat</w:t>
      </w:r>
      <w:r w:rsidR="1F3A95D4">
        <w:t xml:space="preserve">ed </w:t>
      </w:r>
      <w:r>
        <w:t>to change their behaviour. Interventions used provide evidence-based support for mild to moderate mental health needs which include</w:t>
      </w:r>
      <w:r w:rsidR="439F8A6C">
        <w:t xml:space="preserve"> </w:t>
      </w:r>
      <w:r>
        <w:t>low mood and anxiety presentations. LICBT is not recommended when there are multiple or complex needs or where a high</w:t>
      </w:r>
      <w:r w:rsidR="5B740265">
        <w:t xml:space="preserve"> level of </w:t>
      </w:r>
      <w:r>
        <w:t>risk</w:t>
      </w:r>
      <w:r w:rsidR="5F5F17BE">
        <w:t xml:space="preserve"> is</w:t>
      </w:r>
      <w:r>
        <w:t xml:space="preserve"> present. The table below provides a guide on suitability</w:t>
      </w:r>
      <w:r w:rsidR="66A2FF6E">
        <w:t xml:space="preserve"> for our </w:t>
      </w:r>
      <w:r w:rsidR="66A2FF6E" w:rsidRPr="49A0FE5B">
        <w:rPr>
          <w:b/>
          <w:bCs/>
        </w:rPr>
        <w:t>CWP service</w:t>
      </w:r>
      <w:r>
        <w:t>. Please not</w:t>
      </w:r>
      <w:r w:rsidR="00FC667E">
        <w:t>e</w:t>
      </w:r>
      <w:r>
        <w:t xml:space="preserve"> that those list</w:t>
      </w:r>
      <w:r w:rsidR="7D80FB65">
        <w:t>ed</w:t>
      </w:r>
      <w:r>
        <w:t xml:space="preserve"> in the not suitable column will likely mean that we won’t be able to support</w:t>
      </w:r>
      <w:r w:rsidR="2A9B719E">
        <w:t xml:space="preserve"> in a LICBT capacity</w:t>
      </w:r>
      <w:r w:rsidR="00FC667E">
        <w:t>,</w:t>
      </w:r>
      <w:r w:rsidR="2A9B719E">
        <w:t xml:space="preserve"> but there </w:t>
      </w:r>
      <w:r w:rsidR="06419111">
        <w:t>may be</w:t>
      </w:r>
      <w:r w:rsidR="2A9B719E">
        <w:t xml:space="preserve"> other support that Young People Cornwall can offer. </w:t>
      </w:r>
      <w:r w:rsidR="03417D24">
        <w:t>Therefore,</w:t>
      </w:r>
      <w:r>
        <w:t xml:space="preserve"> i</w:t>
      </w:r>
      <w:r w:rsidR="5433A222">
        <w:t>f</w:t>
      </w:r>
      <w:r>
        <w:t xml:space="preserve"> you are </w:t>
      </w:r>
      <w:r w:rsidR="2A222884">
        <w:t>unsure about the support you are requesting, please</w:t>
      </w:r>
      <w:r>
        <w:t xml:space="preserve"> contact us through email referral@ypc.org.uk</w:t>
      </w:r>
    </w:p>
    <w:p w14:paraId="639BCCA8" w14:textId="23A97E5F" w:rsidR="0064509A" w:rsidRDefault="0064509A" w:rsidP="0019196B">
      <w:r>
        <w:t>LICBT Interventions are designed to target specific needs and work towards a young person</w:t>
      </w:r>
      <w:r w:rsidR="00FC667E">
        <w:t>’s</w:t>
      </w:r>
      <w:r>
        <w:t xml:space="preserve"> chosen goal. We require young people to engage in materials and complete work outside of sessions, hence clients need to be motivated to change. We can work directly with the young person 1:1 or we may offer a group setting. We can also off</w:t>
      </w:r>
      <w:r w:rsidR="00FC667E">
        <w:t>er</w:t>
      </w:r>
      <w:r>
        <w:t xml:space="preserve"> parent led CBT where the child is under 12 years old. We </w:t>
      </w:r>
      <w:r w:rsidR="1499FABA">
        <w:t>tend to work with</w:t>
      </w:r>
      <w:r>
        <w:t xml:space="preserve"> behavioural issues whe</w:t>
      </w:r>
      <w:r w:rsidR="51CD49FB">
        <w:t>n a child is below 11 years old.</w:t>
      </w:r>
    </w:p>
    <w:p w14:paraId="0D640495" w14:textId="77777777" w:rsidR="0064509A" w:rsidRDefault="0064509A" w:rsidP="0019196B">
      <w:r>
        <w:t xml:space="preserve">When a request is accepted this does not guarantee support will be provided. A Children’s Wellbeing Practitioner will carry out an assessment to check suitability for LICBT intervention. If assessed as appropriate the client will be offered a maximum of </w:t>
      </w:r>
      <w:r w:rsidRPr="49A0FE5B">
        <w:rPr>
          <w:b/>
          <w:bCs/>
        </w:rPr>
        <w:t>8 sessions</w:t>
      </w:r>
      <w:r>
        <w:t>. If our service is not suitable or not suitable at this time we will signpost or refer clients onto more appropriate services.</w:t>
      </w:r>
    </w:p>
    <w:p w14:paraId="10121B33" w14:textId="39FEE7DF" w:rsidR="0064509A" w:rsidRDefault="0064509A" w:rsidP="00DB4E16">
      <w:r>
        <w:t>Those young people who have high ACE scores (Adverse Childhood Experiences) and childhood trauma are unlikely to benefit from LICBT support, without effective prior support. This is due to difficulties in being able to focus, retain information and learn from the he</w:t>
      </w:r>
      <w:r w:rsidR="0C4FB611">
        <w:t>re</w:t>
      </w:r>
      <w:r>
        <w:t xml:space="preserve"> and now.</w:t>
      </w:r>
    </w:p>
    <w:p w14:paraId="1A5072C1" w14:textId="262DB659" w:rsidR="0064509A" w:rsidRPr="00DB4E16" w:rsidRDefault="0064509A" w:rsidP="0019196B">
      <w:pPr>
        <w:rPr>
          <w:b/>
          <w:bCs/>
        </w:rPr>
      </w:pPr>
      <w:r w:rsidRPr="00DB4E16">
        <w:rPr>
          <w:b/>
          <w:bCs/>
        </w:rPr>
        <w:t>Completing a request for support:</w:t>
      </w:r>
    </w:p>
    <w:p w14:paraId="3E5D0120" w14:textId="4F123762" w:rsidR="0019196B" w:rsidRDefault="0064509A" w:rsidP="0019196B">
      <w:pPr>
        <w:pStyle w:val="ListParagraph"/>
        <w:numPr>
          <w:ilvl w:val="0"/>
          <w:numId w:val="2"/>
        </w:numPr>
      </w:pPr>
      <w:r>
        <w:t>Please complete the form as a professional alongside a young person (this gives us additional information and ensure</w:t>
      </w:r>
      <w:r w:rsidR="00FC667E">
        <w:t>s</w:t>
      </w:r>
      <w:r>
        <w:t xml:space="preserve"> the young person’s voice</w:t>
      </w:r>
      <w:r w:rsidR="00FC667E">
        <w:t xml:space="preserve"> is heard</w:t>
      </w:r>
      <w:r>
        <w:t>)</w:t>
      </w:r>
    </w:p>
    <w:p w14:paraId="04781E83" w14:textId="590BB2FD" w:rsidR="0094377D" w:rsidRDefault="0064509A" w:rsidP="0094377D">
      <w:pPr>
        <w:pStyle w:val="ListParagraph"/>
        <w:numPr>
          <w:ilvl w:val="0"/>
          <w:numId w:val="2"/>
        </w:numPr>
      </w:pPr>
      <w:r>
        <w:t xml:space="preserve">Paper forms are no longer </w:t>
      </w:r>
      <w:r w:rsidR="008C019D">
        <w:t>accepted,</w:t>
      </w:r>
      <w:r>
        <w:t xml:space="preserve"> and </w:t>
      </w:r>
      <w:r w:rsidR="00FC667E">
        <w:t xml:space="preserve">referrals </w:t>
      </w:r>
      <w:r>
        <w:t>need to be completed online via our website</w:t>
      </w:r>
      <w:r w:rsidR="00FC667E">
        <w:t>.</w:t>
      </w:r>
    </w:p>
    <w:p w14:paraId="731D5F19" w14:textId="57AD5249" w:rsidR="0064509A" w:rsidRDefault="0064509A" w:rsidP="0094377D">
      <w:pPr>
        <w:pStyle w:val="ListParagraph"/>
        <w:numPr>
          <w:ilvl w:val="0"/>
          <w:numId w:val="2"/>
        </w:numPr>
      </w:pPr>
      <w:r>
        <w:t>Please give as much information as you can – focusing on the current problem, what the young person wants and their motivation for change</w:t>
      </w:r>
      <w:r w:rsidR="14399F11">
        <w:t>,</w:t>
      </w:r>
      <w:r>
        <w:t xml:space="preserve"> any risk that cover</w:t>
      </w:r>
      <w:r w:rsidR="093FB269">
        <w:t>s</w:t>
      </w:r>
      <w:r>
        <w:t xml:space="preserve"> past and current </w:t>
      </w:r>
      <w:r w:rsidR="579D9530">
        <w:t xml:space="preserve">situation </w:t>
      </w:r>
      <w:r>
        <w:t>and any surrounding context where relevant.</w:t>
      </w:r>
    </w:p>
    <w:p w14:paraId="5D8BA822" w14:textId="18691E3B" w:rsidR="00AD0EFD" w:rsidRPr="00DB4E16" w:rsidRDefault="00AD0EFD" w:rsidP="49A0FE5B">
      <w:pPr>
        <w:ind w:left="1080"/>
        <w:rPr>
          <w:b/>
          <w:bCs/>
          <w:sz w:val="24"/>
          <w:szCs w:val="24"/>
          <w:u w:val="single"/>
        </w:rPr>
      </w:pPr>
    </w:p>
    <w:p w14:paraId="0AC4B667" w14:textId="42911029" w:rsidR="00AD0EFD" w:rsidRPr="00DB4E16" w:rsidRDefault="0064509A" w:rsidP="49A0FE5B">
      <w:pPr>
        <w:rPr>
          <w:b/>
          <w:bCs/>
          <w:sz w:val="24"/>
          <w:szCs w:val="24"/>
          <w:u w:val="single"/>
        </w:rPr>
      </w:pPr>
      <w:r w:rsidRPr="49A0FE5B">
        <w:rPr>
          <w:b/>
          <w:bCs/>
          <w:sz w:val="24"/>
          <w:szCs w:val="24"/>
          <w:u w:val="single"/>
        </w:rPr>
        <w:t>Please note we do not offer counselling support and CBT support is not the same.</w:t>
      </w:r>
    </w:p>
    <w:p w14:paraId="6E88CE33" w14:textId="499C8A3A" w:rsidR="49A0FE5B" w:rsidRDefault="49A0FE5B"/>
    <w:p w14:paraId="0AC4B668" w14:textId="54E8C003" w:rsidR="00AD0EFD" w:rsidRDefault="00066C2F">
      <w:pPr>
        <w:rPr>
          <w:color w:val="0000FF"/>
          <w:u w:val="single"/>
        </w:rPr>
      </w:pPr>
      <w:r>
        <w:lastRenderedPageBreak/>
        <w:t xml:space="preserve">Young People Cornwall is </w:t>
      </w:r>
      <w:r w:rsidRPr="49A0FE5B">
        <w:rPr>
          <w:b/>
          <w:bCs/>
        </w:rPr>
        <w:t>not a crisis intervention service</w:t>
      </w:r>
      <w:r>
        <w:t xml:space="preserve">, and we cannot offer immediate contact or risk screening. If you have immediate </w:t>
      </w:r>
      <w:r w:rsidR="0815B3F2">
        <w:t>concerns,</w:t>
      </w:r>
      <w:r>
        <w:t xml:space="preserve"> please look to get in touch with the appropriate services </w:t>
      </w:r>
      <w:hyperlink r:id="rId7">
        <w:r w:rsidRPr="49A0FE5B">
          <w:rPr>
            <w:color w:val="0000FF"/>
            <w:u w:val="single"/>
          </w:rPr>
          <w:t>Early help - Cornwall Council</w:t>
        </w:r>
      </w:hyperlink>
    </w:p>
    <w:p w14:paraId="556F2CAD" w14:textId="77777777" w:rsidR="007B00AC" w:rsidRDefault="007B00AC"/>
    <w:tbl>
      <w:tblPr>
        <w:tblStyle w:val="TableGrid"/>
        <w:tblW w:w="10065" w:type="dxa"/>
        <w:tblInd w:w="-431" w:type="dxa"/>
        <w:tblLook w:val="04A0" w:firstRow="1" w:lastRow="0" w:firstColumn="1" w:lastColumn="0" w:noHBand="0" w:noVBand="1"/>
      </w:tblPr>
      <w:tblGrid>
        <w:gridCol w:w="3436"/>
        <w:gridCol w:w="3005"/>
        <w:gridCol w:w="3624"/>
      </w:tblGrid>
      <w:tr w:rsidR="007B00AC" w:rsidRPr="007B00AC" w14:paraId="1FAA3260" w14:textId="77777777" w:rsidTr="007B00AC">
        <w:tc>
          <w:tcPr>
            <w:tcW w:w="3436" w:type="dxa"/>
            <w:shd w:val="clear" w:color="auto" w:fill="00B050"/>
          </w:tcPr>
          <w:p w14:paraId="0C3BF2F9" w14:textId="77777777" w:rsidR="007B00AC" w:rsidRPr="007B00AC" w:rsidRDefault="007B00AC" w:rsidP="007B00AC">
            <w:pPr>
              <w:suppressAutoHyphens w:val="0"/>
              <w:jc w:val="center"/>
              <w:rPr>
                <w:b/>
                <w:bCs/>
              </w:rPr>
            </w:pPr>
            <w:r w:rsidRPr="007B00AC">
              <w:rPr>
                <w:b/>
                <w:bCs/>
              </w:rPr>
              <w:t>Suitable</w:t>
            </w:r>
          </w:p>
        </w:tc>
        <w:tc>
          <w:tcPr>
            <w:tcW w:w="3005" w:type="dxa"/>
            <w:shd w:val="clear" w:color="auto" w:fill="FFC000"/>
          </w:tcPr>
          <w:p w14:paraId="72E4FD37" w14:textId="77777777" w:rsidR="007B00AC" w:rsidRPr="007B00AC" w:rsidRDefault="007B00AC" w:rsidP="007B00AC">
            <w:pPr>
              <w:suppressAutoHyphens w:val="0"/>
              <w:jc w:val="center"/>
              <w:rPr>
                <w:b/>
                <w:bCs/>
              </w:rPr>
            </w:pPr>
            <w:r w:rsidRPr="007B00AC">
              <w:rPr>
                <w:b/>
                <w:bCs/>
              </w:rPr>
              <w:t>May be suitable</w:t>
            </w:r>
          </w:p>
        </w:tc>
        <w:tc>
          <w:tcPr>
            <w:tcW w:w="3624" w:type="dxa"/>
            <w:shd w:val="clear" w:color="auto" w:fill="FF0000"/>
          </w:tcPr>
          <w:p w14:paraId="55D3211D" w14:textId="77777777" w:rsidR="007B00AC" w:rsidRPr="007B00AC" w:rsidRDefault="007B00AC" w:rsidP="007B00AC">
            <w:pPr>
              <w:suppressAutoHyphens w:val="0"/>
              <w:jc w:val="center"/>
              <w:rPr>
                <w:b/>
                <w:bCs/>
              </w:rPr>
            </w:pPr>
            <w:r w:rsidRPr="007B00AC">
              <w:rPr>
                <w:b/>
                <w:bCs/>
              </w:rPr>
              <w:t>Not suitable</w:t>
            </w:r>
          </w:p>
        </w:tc>
      </w:tr>
      <w:tr w:rsidR="007B00AC" w:rsidRPr="007B00AC" w14:paraId="187642D6" w14:textId="77777777" w:rsidTr="007B00AC">
        <w:tc>
          <w:tcPr>
            <w:tcW w:w="3436" w:type="dxa"/>
            <w:shd w:val="clear" w:color="auto" w:fill="DAE9F7" w:themeFill="text2" w:themeFillTint="1A"/>
          </w:tcPr>
          <w:p w14:paraId="5F5B425F" w14:textId="77777777" w:rsidR="007B00AC" w:rsidRPr="007B00AC" w:rsidRDefault="007B00AC" w:rsidP="007B00AC">
            <w:pPr>
              <w:suppressAutoHyphens w:val="0"/>
              <w:jc w:val="center"/>
            </w:pPr>
            <w:r w:rsidRPr="007B00AC">
              <w:t>Common Mental Health difficulties that may respond to early intervention.</w:t>
            </w:r>
          </w:p>
        </w:tc>
        <w:tc>
          <w:tcPr>
            <w:tcW w:w="3005" w:type="dxa"/>
            <w:shd w:val="clear" w:color="auto" w:fill="DAE9F7" w:themeFill="text2" w:themeFillTint="1A"/>
          </w:tcPr>
          <w:p w14:paraId="4B0E2AE0" w14:textId="77777777" w:rsidR="007B00AC" w:rsidRPr="007B00AC" w:rsidRDefault="007B00AC" w:rsidP="007B00AC">
            <w:pPr>
              <w:suppressAutoHyphens w:val="0"/>
              <w:jc w:val="center"/>
            </w:pPr>
            <w:r w:rsidRPr="007B00AC">
              <w:t>Conditions which may respond to early intervention but require discretion.</w:t>
            </w:r>
          </w:p>
        </w:tc>
        <w:tc>
          <w:tcPr>
            <w:tcW w:w="3624" w:type="dxa"/>
            <w:shd w:val="clear" w:color="auto" w:fill="DAE9F7" w:themeFill="text2" w:themeFillTint="1A"/>
          </w:tcPr>
          <w:p w14:paraId="798FB095" w14:textId="77777777" w:rsidR="007B00AC" w:rsidRPr="007B00AC" w:rsidRDefault="007B00AC" w:rsidP="007B00AC">
            <w:pPr>
              <w:suppressAutoHyphens w:val="0"/>
              <w:jc w:val="center"/>
            </w:pPr>
            <w:r w:rsidRPr="007B00AC">
              <w:t>Significant levels of need/complex conditions which are not suitable for brief early intervention</w:t>
            </w:r>
          </w:p>
        </w:tc>
      </w:tr>
      <w:tr w:rsidR="007B00AC" w:rsidRPr="007B00AC" w14:paraId="4862A0CD" w14:textId="77777777" w:rsidTr="007B00AC">
        <w:tc>
          <w:tcPr>
            <w:tcW w:w="3436" w:type="dxa"/>
          </w:tcPr>
          <w:p w14:paraId="0BEEC537" w14:textId="77777777" w:rsidR="007B00AC" w:rsidRPr="007B00AC" w:rsidRDefault="007B00AC" w:rsidP="007B00AC">
            <w:pPr>
              <w:suppressAutoHyphens w:val="0"/>
              <w:jc w:val="center"/>
            </w:pPr>
            <w:r w:rsidRPr="007B00AC">
              <w:t>Low Mood/ Mild to Moderately Severe Depression</w:t>
            </w:r>
          </w:p>
          <w:p w14:paraId="62108EAB" w14:textId="77777777" w:rsidR="007B00AC" w:rsidRPr="007B00AC" w:rsidRDefault="007B00AC" w:rsidP="007B00AC">
            <w:pPr>
              <w:suppressAutoHyphens w:val="0"/>
              <w:jc w:val="center"/>
            </w:pPr>
          </w:p>
          <w:p w14:paraId="303E1F19" w14:textId="77777777" w:rsidR="007B00AC" w:rsidRPr="007B00AC" w:rsidRDefault="007B00AC" w:rsidP="007B00AC">
            <w:pPr>
              <w:suppressAutoHyphens w:val="0"/>
              <w:jc w:val="center"/>
            </w:pPr>
            <w:r w:rsidRPr="007B00AC">
              <w:t>Panic Disorder</w:t>
            </w:r>
          </w:p>
          <w:p w14:paraId="5A3BC7EA" w14:textId="77777777" w:rsidR="007B00AC" w:rsidRPr="007B00AC" w:rsidRDefault="007B00AC" w:rsidP="007B00AC">
            <w:pPr>
              <w:suppressAutoHyphens w:val="0"/>
              <w:jc w:val="center"/>
            </w:pPr>
          </w:p>
          <w:p w14:paraId="427140F0" w14:textId="77777777" w:rsidR="007B00AC" w:rsidRPr="007B00AC" w:rsidRDefault="007B00AC" w:rsidP="007B00AC">
            <w:pPr>
              <w:suppressAutoHyphens w:val="0"/>
              <w:jc w:val="center"/>
            </w:pPr>
            <w:r w:rsidRPr="007B00AC">
              <w:t>Agoraphobia</w:t>
            </w:r>
          </w:p>
          <w:p w14:paraId="0DD5045E" w14:textId="77777777" w:rsidR="007B00AC" w:rsidRPr="007B00AC" w:rsidRDefault="007B00AC" w:rsidP="007B00AC">
            <w:pPr>
              <w:suppressAutoHyphens w:val="0"/>
              <w:jc w:val="center"/>
            </w:pPr>
          </w:p>
          <w:p w14:paraId="40154112" w14:textId="77777777" w:rsidR="007B00AC" w:rsidRPr="007B00AC" w:rsidRDefault="007B00AC" w:rsidP="007B00AC">
            <w:pPr>
              <w:suppressAutoHyphens w:val="0"/>
              <w:jc w:val="center"/>
            </w:pPr>
            <w:r w:rsidRPr="007B00AC">
              <w:t>Generalised Anxiety Disorder / Worry</w:t>
            </w:r>
          </w:p>
          <w:p w14:paraId="0A6E2EDA" w14:textId="77777777" w:rsidR="007B00AC" w:rsidRPr="007B00AC" w:rsidRDefault="007B00AC" w:rsidP="007B00AC">
            <w:pPr>
              <w:suppressAutoHyphens w:val="0"/>
              <w:jc w:val="center"/>
            </w:pPr>
          </w:p>
          <w:p w14:paraId="40081678" w14:textId="77777777" w:rsidR="007B00AC" w:rsidRPr="007B00AC" w:rsidRDefault="007B00AC" w:rsidP="007B00AC">
            <w:pPr>
              <w:suppressAutoHyphens w:val="0"/>
              <w:jc w:val="center"/>
            </w:pPr>
            <w:r w:rsidRPr="007B00AC">
              <w:t>Simple Phobia (but not needle, blood or vomit).</w:t>
            </w:r>
          </w:p>
          <w:p w14:paraId="1152D90E" w14:textId="77777777" w:rsidR="007B00AC" w:rsidRPr="007B00AC" w:rsidRDefault="007B00AC" w:rsidP="007B00AC">
            <w:pPr>
              <w:suppressAutoHyphens w:val="0"/>
              <w:jc w:val="center"/>
            </w:pPr>
          </w:p>
          <w:p w14:paraId="325DB14C" w14:textId="77777777" w:rsidR="007B00AC" w:rsidRPr="007B00AC" w:rsidRDefault="007B00AC" w:rsidP="007B00AC">
            <w:pPr>
              <w:suppressAutoHyphens w:val="0"/>
              <w:jc w:val="center"/>
            </w:pPr>
            <w:r w:rsidRPr="007B00AC">
              <w:t>Sleep problems</w:t>
            </w:r>
          </w:p>
          <w:p w14:paraId="4F6787D3" w14:textId="77777777" w:rsidR="007B00AC" w:rsidRPr="007B00AC" w:rsidRDefault="007B00AC" w:rsidP="007B00AC">
            <w:pPr>
              <w:suppressAutoHyphens w:val="0"/>
              <w:jc w:val="center"/>
            </w:pPr>
          </w:p>
          <w:p w14:paraId="51D293FA" w14:textId="77777777" w:rsidR="007B00AC" w:rsidRPr="007B00AC" w:rsidRDefault="007B00AC" w:rsidP="007B00AC">
            <w:pPr>
              <w:suppressAutoHyphens w:val="0"/>
              <w:jc w:val="center"/>
            </w:pPr>
            <w:r w:rsidRPr="007B00AC">
              <w:t>Stress Management</w:t>
            </w:r>
          </w:p>
          <w:p w14:paraId="1683ADFF" w14:textId="77777777" w:rsidR="007B00AC" w:rsidRPr="007B00AC" w:rsidRDefault="007B00AC" w:rsidP="007B00AC">
            <w:pPr>
              <w:suppressAutoHyphens w:val="0"/>
              <w:jc w:val="center"/>
            </w:pPr>
          </w:p>
          <w:p w14:paraId="54B6D0C0" w14:textId="77777777" w:rsidR="007B00AC" w:rsidRPr="007B00AC" w:rsidRDefault="007B00AC" w:rsidP="007B00AC">
            <w:pPr>
              <w:suppressAutoHyphens w:val="0"/>
              <w:jc w:val="center"/>
            </w:pPr>
            <w:r w:rsidRPr="007B00AC">
              <w:t>Behavioural Difficulties (up to 12 years old)</w:t>
            </w:r>
          </w:p>
        </w:tc>
        <w:tc>
          <w:tcPr>
            <w:tcW w:w="3005" w:type="dxa"/>
          </w:tcPr>
          <w:p w14:paraId="047329AC" w14:textId="77777777" w:rsidR="007B00AC" w:rsidRPr="007B00AC" w:rsidRDefault="007B00AC" w:rsidP="007B00AC">
            <w:pPr>
              <w:suppressAutoHyphens w:val="0"/>
              <w:jc w:val="center"/>
            </w:pPr>
            <w:r w:rsidRPr="007B00AC">
              <w:t>Anger Difficulties</w:t>
            </w:r>
          </w:p>
          <w:p w14:paraId="51126FBE" w14:textId="77777777" w:rsidR="007B00AC" w:rsidRPr="007B00AC" w:rsidRDefault="007B00AC" w:rsidP="007B00AC">
            <w:pPr>
              <w:suppressAutoHyphens w:val="0"/>
              <w:jc w:val="center"/>
            </w:pPr>
          </w:p>
          <w:p w14:paraId="4B55B812" w14:textId="77777777" w:rsidR="007B00AC" w:rsidRPr="007B00AC" w:rsidRDefault="007B00AC" w:rsidP="007B00AC">
            <w:pPr>
              <w:suppressAutoHyphens w:val="0"/>
              <w:jc w:val="center"/>
            </w:pPr>
            <w:r w:rsidRPr="007B00AC">
              <w:t>Low self-esteem</w:t>
            </w:r>
          </w:p>
          <w:p w14:paraId="32836188" w14:textId="77777777" w:rsidR="007B00AC" w:rsidRPr="007B00AC" w:rsidRDefault="007B00AC" w:rsidP="007B00AC">
            <w:pPr>
              <w:suppressAutoHyphens w:val="0"/>
              <w:jc w:val="center"/>
            </w:pPr>
          </w:p>
          <w:p w14:paraId="754173D2" w14:textId="77777777" w:rsidR="007B00AC" w:rsidRPr="007B00AC" w:rsidRDefault="007B00AC" w:rsidP="007B00AC">
            <w:pPr>
              <w:suppressAutoHyphens w:val="0"/>
              <w:jc w:val="center"/>
            </w:pPr>
            <w:r w:rsidRPr="007B00AC">
              <w:t>Mild Social Anxiety Disorder</w:t>
            </w:r>
          </w:p>
          <w:p w14:paraId="6B054230" w14:textId="77777777" w:rsidR="007B00AC" w:rsidRPr="007B00AC" w:rsidRDefault="007B00AC" w:rsidP="007B00AC">
            <w:pPr>
              <w:suppressAutoHyphens w:val="0"/>
              <w:jc w:val="center"/>
            </w:pPr>
          </w:p>
          <w:p w14:paraId="43C911DD" w14:textId="77777777" w:rsidR="007B00AC" w:rsidRPr="007B00AC" w:rsidRDefault="007B00AC" w:rsidP="007B00AC">
            <w:pPr>
              <w:suppressAutoHyphens w:val="0"/>
              <w:jc w:val="center"/>
            </w:pPr>
            <w:r w:rsidRPr="007B00AC">
              <w:t>Some Compulsive Behaviours</w:t>
            </w:r>
          </w:p>
          <w:p w14:paraId="13BF30D1" w14:textId="77777777" w:rsidR="007B00AC" w:rsidRPr="007B00AC" w:rsidRDefault="007B00AC" w:rsidP="007B00AC">
            <w:pPr>
              <w:suppressAutoHyphens w:val="0"/>
              <w:jc w:val="center"/>
            </w:pPr>
          </w:p>
          <w:p w14:paraId="28C07A20" w14:textId="77777777" w:rsidR="007B00AC" w:rsidRPr="007B00AC" w:rsidRDefault="007B00AC" w:rsidP="007B00AC">
            <w:pPr>
              <w:suppressAutoHyphens w:val="0"/>
              <w:jc w:val="center"/>
            </w:pPr>
            <w:r w:rsidRPr="007B00AC">
              <w:t>Mild Health Anxiety</w:t>
            </w:r>
          </w:p>
          <w:p w14:paraId="7B19D9F0" w14:textId="77777777" w:rsidR="007B00AC" w:rsidRPr="007B00AC" w:rsidRDefault="007B00AC" w:rsidP="007B00AC">
            <w:pPr>
              <w:suppressAutoHyphens w:val="0"/>
              <w:jc w:val="center"/>
            </w:pPr>
          </w:p>
          <w:p w14:paraId="29CAD4DC" w14:textId="77777777" w:rsidR="007B00AC" w:rsidRPr="007B00AC" w:rsidRDefault="007B00AC" w:rsidP="007B00AC">
            <w:pPr>
              <w:suppressAutoHyphens w:val="0"/>
              <w:jc w:val="center"/>
            </w:pPr>
            <w:r w:rsidRPr="007B00AC">
              <w:t>Assertiveness/Interpersonal Challenges (e.g. with peers)</w:t>
            </w:r>
          </w:p>
          <w:p w14:paraId="6554BB62" w14:textId="77777777" w:rsidR="007B00AC" w:rsidRPr="007B00AC" w:rsidRDefault="007B00AC" w:rsidP="007B00AC">
            <w:pPr>
              <w:suppressAutoHyphens w:val="0"/>
              <w:jc w:val="center"/>
            </w:pPr>
          </w:p>
          <w:p w14:paraId="7EA59908" w14:textId="77777777" w:rsidR="007B00AC" w:rsidRPr="007B00AC" w:rsidRDefault="007B00AC" w:rsidP="007B00AC">
            <w:pPr>
              <w:suppressAutoHyphens w:val="0"/>
              <w:jc w:val="center"/>
              <w:rPr>
                <w:b/>
                <w:bCs/>
              </w:rPr>
            </w:pPr>
            <w:r w:rsidRPr="007B00AC">
              <w:t xml:space="preserve">Self-harm is disclosed but is assessed as linked to low mood but </w:t>
            </w:r>
            <w:r w:rsidRPr="007B00AC">
              <w:rPr>
                <w:b/>
                <w:bCs/>
              </w:rPr>
              <w:t>is not assessed as enduring and high in risk in nature.</w:t>
            </w:r>
          </w:p>
          <w:p w14:paraId="31ECC078" w14:textId="77777777" w:rsidR="007B00AC" w:rsidRPr="007B00AC" w:rsidRDefault="007B00AC" w:rsidP="007B00AC">
            <w:pPr>
              <w:suppressAutoHyphens w:val="0"/>
              <w:jc w:val="center"/>
              <w:rPr>
                <w:b/>
                <w:bCs/>
              </w:rPr>
            </w:pPr>
          </w:p>
          <w:p w14:paraId="62A0791C" w14:textId="77777777" w:rsidR="007B00AC" w:rsidRPr="007B00AC" w:rsidRDefault="007B00AC" w:rsidP="007B00AC">
            <w:pPr>
              <w:suppressAutoHyphens w:val="0"/>
              <w:jc w:val="center"/>
            </w:pPr>
            <w:r w:rsidRPr="007B00AC">
              <w:t>OCD</w:t>
            </w:r>
          </w:p>
        </w:tc>
        <w:tc>
          <w:tcPr>
            <w:tcW w:w="3624" w:type="dxa"/>
          </w:tcPr>
          <w:p w14:paraId="415305E2" w14:textId="77777777" w:rsidR="007B00AC" w:rsidRPr="007B00AC" w:rsidRDefault="007B00AC" w:rsidP="007B00AC">
            <w:pPr>
              <w:suppressAutoHyphens w:val="0"/>
              <w:jc w:val="center"/>
            </w:pPr>
            <w:r w:rsidRPr="007B00AC">
              <w:t>Pain Management</w:t>
            </w:r>
          </w:p>
          <w:p w14:paraId="2915795B" w14:textId="77777777" w:rsidR="007B00AC" w:rsidRPr="007B00AC" w:rsidRDefault="007B00AC" w:rsidP="007B00AC">
            <w:pPr>
              <w:suppressAutoHyphens w:val="0"/>
              <w:jc w:val="center"/>
            </w:pPr>
          </w:p>
          <w:p w14:paraId="37DD7220" w14:textId="77777777" w:rsidR="007B00AC" w:rsidRPr="007B00AC" w:rsidRDefault="007B00AC" w:rsidP="007B00AC">
            <w:pPr>
              <w:suppressAutoHyphens w:val="0"/>
              <w:jc w:val="center"/>
            </w:pPr>
            <w:r w:rsidRPr="007B00AC">
              <w:t>PTSD</w:t>
            </w:r>
          </w:p>
          <w:p w14:paraId="456FF5D7" w14:textId="77777777" w:rsidR="007B00AC" w:rsidRPr="007B00AC" w:rsidRDefault="007B00AC" w:rsidP="007B00AC">
            <w:pPr>
              <w:suppressAutoHyphens w:val="0"/>
              <w:jc w:val="center"/>
            </w:pPr>
          </w:p>
          <w:p w14:paraId="73370621" w14:textId="77777777" w:rsidR="007B00AC" w:rsidRPr="007B00AC" w:rsidRDefault="007B00AC" w:rsidP="007B00AC">
            <w:pPr>
              <w:suppressAutoHyphens w:val="0"/>
              <w:jc w:val="center"/>
            </w:pPr>
            <w:r w:rsidRPr="007B00AC">
              <w:t>Bipolar Disorder</w:t>
            </w:r>
          </w:p>
          <w:p w14:paraId="20F315B4" w14:textId="77777777" w:rsidR="007B00AC" w:rsidRPr="007B00AC" w:rsidRDefault="007B00AC" w:rsidP="007B00AC">
            <w:pPr>
              <w:suppressAutoHyphens w:val="0"/>
              <w:jc w:val="center"/>
            </w:pPr>
          </w:p>
          <w:p w14:paraId="28945BA8" w14:textId="77777777" w:rsidR="007B00AC" w:rsidRPr="007B00AC" w:rsidRDefault="007B00AC" w:rsidP="007B00AC">
            <w:pPr>
              <w:suppressAutoHyphens w:val="0"/>
              <w:jc w:val="center"/>
            </w:pPr>
            <w:r w:rsidRPr="007B00AC">
              <w:t>Psychosis</w:t>
            </w:r>
          </w:p>
          <w:p w14:paraId="5E8CF786" w14:textId="77777777" w:rsidR="007B00AC" w:rsidRPr="007B00AC" w:rsidRDefault="007B00AC" w:rsidP="007B00AC">
            <w:pPr>
              <w:suppressAutoHyphens w:val="0"/>
              <w:jc w:val="center"/>
            </w:pPr>
          </w:p>
          <w:p w14:paraId="6100B20F" w14:textId="77777777" w:rsidR="007B00AC" w:rsidRPr="007B00AC" w:rsidRDefault="007B00AC" w:rsidP="007B00AC">
            <w:pPr>
              <w:suppressAutoHyphens w:val="0"/>
              <w:jc w:val="center"/>
            </w:pPr>
            <w:r w:rsidRPr="007B00AC">
              <w:t>Personality Disorders</w:t>
            </w:r>
          </w:p>
          <w:p w14:paraId="72BBD63E" w14:textId="77777777" w:rsidR="007B00AC" w:rsidRPr="007B00AC" w:rsidRDefault="007B00AC" w:rsidP="007B00AC">
            <w:pPr>
              <w:suppressAutoHyphens w:val="0"/>
              <w:jc w:val="center"/>
            </w:pPr>
          </w:p>
          <w:p w14:paraId="2B16FED6" w14:textId="77777777" w:rsidR="007B00AC" w:rsidRPr="007B00AC" w:rsidRDefault="007B00AC" w:rsidP="007B00AC">
            <w:pPr>
              <w:suppressAutoHyphens w:val="0"/>
              <w:jc w:val="center"/>
            </w:pPr>
            <w:r w:rsidRPr="007B00AC">
              <w:t>Eating Disorders</w:t>
            </w:r>
          </w:p>
          <w:p w14:paraId="2C3B2A64" w14:textId="77777777" w:rsidR="007B00AC" w:rsidRPr="007B00AC" w:rsidRDefault="007B00AC" w:rsidP="007B00AC">
            <w:pPr>
              <w:suppressAutoHyphens w:val="0"/>
              <w:jc w:val="center"/>
            </w:pPr>
          </w:p>
          <w:p w14:paraId="74D5FF37" w14:textId="77777777" w:rsidR="007B00AC" w:rsidRPr="007B00AC" w:rsidRDefault="007B00AC" w:rsidP="007B00AC">
            <w:pPr>
              <w:suppressAutoHyphens w:val="0"/>
              <w:jc w:val="center"/>
            </w:pPr>
            <w:r w:rsidRPr="007B00AC">
              <w:t>Chronic Depression/Anxiety</w:t>
            </w:r>
          </w:p>
          <w:p w14:paraId="50ACC65C" w14:textId="77777777" w:rsidR="007B00AC" w:rsidRPr="007B00AC" w:rsidRDefault="007B00AC" w:rsidP="007B00AC">
            <w:pPr>
              <w:suppressAutoHyphens w:val="0"/>
              <w:jc w:val="center"/>
            </w:pPr>
          </w:p>
          <w:p w14:paraId="0F42881F" w14:textId="77777777" w:rsidR="007B00AC" w:rsidRPr="007B00AC" w:rsidRDefault="007B00AC" w:rsidP="007B00AC">
            <w:pPr>
              <w:suppressAutoHyphens w:val="0"/>
              <w:jc w:val="center"/>
            </w:pPr>
            <w:r w:rsidRPr="007B00AC">
              <w:t>Established Health Anxiety</w:t>
            </w:r>
          </w:p>
          <w:p w14:paraId="066CD8CB" w14:textId="77777777" w:rsidR="007B00AC" w:rsidRPr="007B00AC" w:rsidRDefault="007B00AC" w:rsidP="007B00AC">
            <w:pPr>
              <w:suppressAutoHyphens w:val="0"/>
              <w:jc w:val="center"/>
            </w:pPr>
          </w:p>
          <w:p w14:paraId="18C59AD2" w14:textId="77777777" w:rsidR="007B00AC" w:rsidRPr="007B00AC" w:rsidRDefault="007B00AC" w:rsidP="007B00AC">
            <w:pPr>
              <w:suppressAutoHyphens w:val="0"/>
              <w:jc w:val="center"/>
            </w:pPr>
            <w:r w:rsidRPr="007B00AC">
              <w:t>Historical or current experiences of abuse or violence.</w:t>
            </w:r>
          </w:p>
          <w:p w14:paraId="6FD1312B" w14:textId="77777777" w:rsidR="007B00AC" w:rsidRPr="007B00AC" w:rsidRDefault="007B00AC" w:rsidP="007B00AC">
            <w:pPr>
              <w:suppressAutoHyphens w:val="0"/>
              <w:jc w:val="center"/>
            </w:pPr>
          </w:p>
          <w:p w14:paraId="47583861" w14:textId="77777777" w:rsidR="007B00AC" w:rsidRPr="007B00AC" w:rsidRDefault="007B00AC" w:rsidP="007B00AC">
            <w:pPr>
              <w:suppressAutoHyphens w:val="0"/>
              <w:jc w:val="center"/>
            </w:pPr>
            <w:r w:rsidRPr="007B00AC">
              <w:t>Complex interpersonal challenges</w:t>
            </w:r>
          </w:p>
          <w:p w14:paraId="1E77C186" w14:textId="77777777" w:rsidR="007B00AC" w:rsidRPr="007B00AC" w:rsidRDefault="007B00AC" w:rsidP="007B00AC">
            <w:pPr>
              <w:suppressAutoHyphens w:val="0"/>
              <w:jc w:val="center"/>
            </w:pPr>
          </w:p>
          <w:p w14:paraId="7347F4D0" w14:textId="77777777" w:rsidR="007B00AC" w:rsidRPr="007B00AC" w:rsidRDefault="007B00AC" w:rsidP="007B00AC">
            <w:pPr>
              <w:suppressAutoHyphens w:val="0"/>
              <w:jc w:val="center"/>
            </w:pPr>
            <w:r w:rsidRPr="007B00AC">
              <w:t>Bereavement</w:t>
            </w:r>
          </w:p>
          <w:p w14:paraId="2A87C62D" w14:textId="77777777" w:rsidR="007B00AC" w:rsidRPr="007B00AC" w:rsidRDefault="007B00AC" w:rsidP="007B00AC">
            <w:pPr>
              <w:suppressAutoHyphens w:val="0"/>
              <w:jc w:val="center"/>
            </w:pPr>
          </w:p>
          <w:p w14:paraId="35CA7481" w14:textId="77777777" w:rsidR="007B00AC" w:rsidRPr="007B00AC" w:rsidRDefault="007B00AC" w:rsidP="007B00AC">
            <w:pPr>
              <w:suppressAutoHyphens w:val="0"/>
              <w:jc w:val="center"/>
            </w:pPr>
            <w:r w:rsidRPr="007B00AC">
              <w:t>Active, enduring and significant self-harm</w:t>
            </w:r>
          </w:p>
          <w:p w14:paraId="32E44FA2" w14:textId="77777777" w:rsidR="007B00AC" w:rsidRPr="007B00AC" w:rsidRDefault="007B00AC" w:rsidP="007B00AC">
            <w:pPr>
              <w:suppressAutoHyphens w:val="0"/>
              <w:jc w:val="center"/>
            </w:pPr>
          </w:p>
          <w:p w14:paraId="7BCFBA5D" w14:textId="77777777" w:rsidR="007B00AC" w:rsidRPr="007B00AC" w:rsidRDefault="007B00AC" w:rsidP="007B00AC">
            <w:pPr>
              <w:suppressAutoHyphens w:val="0"/>
              <w:jc w:val="center"/>
            </w:pPr>
            <w:r w:rsidRPr="007B00AC">
              <w:t>Relationship Problems</w:t>
            </w:r>
          </w:p>
          <w:p w14:paraId="6B2D6AAF" w14:textId="77777777" w:rsidR="007B00AC" w:rsidRPr="007B00AC" w:rsidRDefault="007B00AC" w:rsidP="007B00AC">
            <w:pPr>
              <w:suppressAutoHyphens w:val="0"/>
              <w:jc w:val="center"/>
            </w:pPr>
          </w:p>
        </w:tc>
      </w:tr>
      <w:tr w:rsidR="007B00AC" w:rsidRPr="007B00AC" w14:paraId="41C19128" w14:textId="77777777" w:rsidTr="007B00AC">
        <w:tc>
          <w:tcPr>
            <w:tcW w:w="3436" w:type="dxa"/>
            <w:shd w:val="clear" w:color="auto" w:fill="DAE9F7" w:themeFill="text2" w:themeFillTint="1A"/>
          </w:tcPr>
          <w:p w14:paraId="0ABFC19A" w14:textId="77777777" w:rsidR="007B00AC" w:rsidRPr="007B00AC" w:rsidRDefault="007B00AC" w:rsidP="007B00AC">
            <w:pPr>
              <w:suppressAutoHyphens w:val="0"/>
              <w:jc w:val="center"/>
            </w:pPr>
          </w:p>
          <w:p w14:paraId="7972DE59" w14:textId="112CF7B9" w:rsidR="007B00AC" w:rsidRPr="007B00AC" w:rsidRDefault="007B00AC" w:rsidP="007B00AC">
            <w:pPr>
              <w:suppressAutoHyphens w:val="0"/>
              <w:jc w:val="center"/>
            </w:pPr>
            <w:r w:rsidRPr="007B00AC">
              <w:t>Single difficulty</w:t>
            </w:r>
            <w:r w:rsidR="00AE46BA">
              <w:t>.</w:t>
            </w:r>
          </w:p>
        </w:tc>
        <w:tc>
          <w:tcPr>
            <w:tcW w:w="3005" w:type="dxa"/>
            <w:shd w:val="clear" w:color="auto" w:fill="DAE9F7" w:themeFill="text2" w:themeFillTint="1A"/>
          </w:tcPr>
          <w:p w14:paraId="46C8FF62" w14:textId="4DD3DE82" w:rsidR="007B00AC" w:rsidRPr="007B00AC" w:rsidRDefault="007B00AC" w:rsidP="007B00AC">
            <w:pPr>
              <w:suppressAutoHyphens w:val="0"/>
              <w:jc w:val="center"/>
            </w:pPr>
            <w:r w:rsidRPr="007B00AC">
              <w:t>Main difficulty along with another difficulty in another area (that will not be worked on)</w:t>
            </w:r>
            <w:r w:rsidR="008E49ED">
              <w:t>.</w:t>
            </w:r>
          </w:p>
        </w:tc>
        <w:tc>
          <w:tcPr>
            <w:tcW w:w="3624" w:type="dxa"/>
            <w:shd w:val="clear" w:color="auto" w:fill="DAE9F7" w:themeFill="text2" w:themeFillTint="1A"/>
          </w:tcPr>
          <w:p w14:paraId="27FA209B" w14:textId="6A6207D8" w:rsidR="007B00AC" w:rsidRPr="007B00AC" w:rsidRDefault="007B00AC" w:rsidP="007B00AC">
            <w:pPr>
              <w:suppressAutoHyphens w:val="0"/>
              <w:jc w:val="center"/>
            </w:pPr>
            <w:r w:rsidRPr="007B00AC">
              <w:t>Multiple current difficulties having a significant current impact</w:t>
            </w:r>
            <w:r w:rsidR="008E49ED">
              <w:t>.</w:t>
            </w:r>
          </w:p>
        </w:tc>
      </w:tr>
      <w:tr w:rsidR="007B00AC" w:rsidRPr="007B00AC" w14:paraId="4F4ACA79" w14:textId="77777777" w:rsidTr="007B00AC">
        <w:tc>
          <w:tcPr>
            <w:tcW w:w="3436" w:type="dxa"/>
            <w:shd w:val="clear" w:color="auto" w:fill="DAE9F7" w:themeFill="text2" w:themeFillTint="1A"/>
          </w:tcPr>
          <w:p w14:paraId="39EA83DF" w14:textId="53E34B47" w:rsidR="007B00AC" w:rsidRPr="007B00AC" w:rsidRDefault="007B00AC" w:rsidP="007B00AC">
            <w:pPr>
              <w:suppressAutoHyphens w:val="0"/>
              <w:jc w:val="center"/>
            </w:pPr>
            <w:r w:rsidRPr="007B00AC">
              <w:t>CYP and/or Parent has no additional learning needs that impact on engagement with materials</w:t>
            </w:r>
            <w:r w:rsidR="00AE46BA">
              <w:t>.</w:t>
            </w:r>
          </w:p>
        </w:tc>
        <w:tc>
          <w:tcPr>
            <w:tcW w:w="3005" w:type="dxa"/>
            <w:shd w:val="clear" w:color="auto" w:fill="DAE9F7" w:themeFill="text2" w:themeFillTint="1A"/>
          </w:tcPr>
          <w:p w14:paraId="74D1E1C4" w14:textId="540BF06D" w:rsidR="007B00AC" w:rsidRPr="007B00AC" w:rsidRDefault="007B00AC" w:rsidP="007B00AC">
            <w:pPr>
              <w:suppressAutoHyphens w:val="0"/>
              <w:jc w:val="center"/>
            </w:pPr>
            <w:r w:rsidRPr="007B00AC">
              <w:t>Mild additional learning needs in CYP and/or Parent</w:t>
            </w:r>
            <w:r w:rsidR="008E49ED">
              <w:t>.</w:t>
            </w:r>
          </w:p>
        </w:tc>
        <w:tc>
          <w:tcPr>
            <w:tcW w:w="3624" w:type="dxa"/>
            <w:shd w:val="clear" w:color="auto" w:fill="DAE9F7" w:themeFill="text2" w:themeFillTint="1A"/>
          </w:tcPr>
          <w:p w14:paraId="32CF21A7" w14:textId="0C711C94" w:rsidR="007B00AC" w:rsidRPr="007B00AC" w:rsidRDefault="007B00AC" w:rsidP="007B00AC">
            <w:pPr>
              <w:suppressAutoHyphens w:val="0"/>
              <w:jc w:val="center"/>
            </w:pPr>
            <w:r w:rsidRPr="007B00AC">
              <w:t>Moderate additional learning needs</w:t>
            </w:r>
            <w:r w:rsidR="008E49ED">
              <w:t>.</w:t>
            </w:r>
          </w:p>
        </w:tc>
      </w:tr>
      <w:tr w:rsidR="007B00AC" w:rsidRPr="007B00AC" w14:paraId="093CDB1D" w14:textId="77777777" w:rsidTr="007B00AC">
        <w:tc>
          <w:tcPr>
            <w:tcW w:w="3436" w:type="dxa"/>
            <w:shd w:val="clear" w:color="auto" w:fill="DAE9F7" w:themeFill="text2" w:themeFillTint="1A"/>
          </w:tcPr>
          <w:p w14:paraId="034676C0" w14:textId="77777777" w:rsidR="007B00AC" w:rsidRPr="007B00AC" w:rsidRDefault="007B00AC" w:rsidP="007B00AC">
            <w:pPr>
              <w:suppressAutoHyphens w:val="0"/>
              <w:jc w:val="center"/>
            </w:pPr>
          </w:p>
        </w:tc>
        <w:tc>
          <w:tcPr>
            <w:tcW w:w="3005" w:type="dxa"/>
            <w:shd w:val="clear" w:color="auto" w:fill="DAE9F7" w:themeFill="text2" w:themeFillTint="1A"/>
          </w:tcPr>
          <w:p w14:paraId="414661B7" w14:textId="77777777" w:rsidR="007B00AC" w:rsidRPr="007B00AC" w:rsidRDefault="007B00AC" w:rsidP="007B00AC">
            <w:pPr>
              <w:suppressAutoHyphens w:val="0"/>
              <w:jc w:val="center"/>
            </w:pPr>
          </w:p>
        </w:tc>
        <w:tc>
          <w:tcPr>
            <w:tcW w:w="3624" w:type="dxa"/>
            <w:shd w:val="clear" w:color="auto" w:fill="DAE9F7" w:themeFill="text2" w:themeFillTint="1A"/>
          </w:tcPr>
          <w:p w14:paraId="441F8BA4" w14:textId="42DBFC76" w:rsidR="007B00AC" w:rsidRPr="007B00AC" w:rsidRDefault="007B00AC" w:rsidP="007B00AC">
            <w:pPr>
              <w:suppressAutoHyphens w:val="0"/>
              <w:jc w:val="center"/>
            </w:pPr>
            <w:r w:rsidRPr="007B00AC">
              <w:t>Significant instability in family</w:t>
            </w:r>
            <w:r w:rsidR="008E49ED">
              <w:t>,</w:t>
            </w:r>
            <w:r w:rsidRPr="007B00AC">
              <w:t xml:space="preserve"> indicated by very conflicted parents, regular conflictual family relationships and/or significant mental health issues in parent/carers.</w:t>
            </w:r>
          </w:p>
        </w:tc>
      </w:tr>
      <w:tr w:rsidR="007B00AC" w:rsidRPr="007B00AC" w14:paraId="7DF3C88E" w14:textId="77777777" w:rsidTr="007B00AC">
        <w:tc>
          <w:tcPr>
            <w:tcW w:w="3436" w:type="dxa"/>
            <w:shd w:val="clear" w:color="auto" w:fill="DAE9F7" w:themeFill="text2" w:themeFillTint="1A"/>
          </w:tcPr>
          <w:p w14:paraId="7EAE946A" w14:textId="77777777" w:rsidR="007B00AC" w:rsidRPr="007B00AC" w:rsidRDefault="007B00AC" w:rsidP="007B00AC">
            <w:pPr>
              <w:suppressAutoHyphens w:val="0"/>
              <w:jc w:val="center"/>
            </w:pPr>
          </w:p>
        </w:tc>
        <w:tc>
          <w:tcPr>
            <w:tcW w:w="3005" w:type="dxa"/>
            <w:shd w:val="clear" w:color="auto" w:fill="DAE9F7" w:themeFill="text2" w:themeFillTint="1A"/>
          </w:tcPr>
          <w:p w14:paraId="0A809F25" w14:textId="77777777" w:rsidR="007B00AC" w:rsidRPr="007B00AC" w:rsidRDefault="007B00AC" w:rsidP="007B00AC">
            <w:pPr>
              <w:suppressAutoHyphens w:val="0"/>
              <w:jc w:val="center"/>
            </w:pPr>
          </w:p>
        </w:tc>
        <w:tc>
          <w:tcPr>
            <w:tcW w:w="3624" w:type="dxa"/>
            <w:shd w:val="clear" w:color="auto" w:fill="DAE9F7" w:themeFill="text2" w:themeFillTint="1A"/>
          </w:tcPr>
          <w:p w14:paraId="03661301" w14:textId="229E2E45" w:rsidR="007B00AC" w:rsidRPr="007B00AC" w:rsidRDefault="007B00AC" w:rsidP="007B00AC">
            <w:pPr>
              <w:suppressAutoHyphens w:val="0"/>
              <w:jc w:val="center"/>
            </w:pPr>
            <w:r w:rsidRPr="007B00AC">
              <w:t>CYP has no self-agency and lack of parental</w:t>
            </w:r>
            <w:r w:rsidR="003972FE">
              <w:t xml:space="preserve">/carer </w:t>
            </w:r>
            <w:r w:rsidRPr="007B00AC">
              <w:t>support</w:t>
            </w:r>
            <w:r w:rsidR="003972FE">
              <w:t>.</w:t>
            </w:r>
          </w:p>
        </w:tc>
      </w:tr>
      <w:tr w:rsidR="007B00AC" w:rsidRPr="007B00AC" w14:paraId="4E48501F" w14:textId="77777777" w:rsidTr="007B00AC">
        <w:tc>
          <w:tcPr>
            <w:tcW w:w="3436" w:type="dxa"/>
            <w:shd w:val="clear" w:color="auto" w:fill="DAE9F7" w:themeFill="text2" w:themeFillTint="1A"/>
          </w:tcPr>
          <w:p w14:paraId="0C61DC76" w14:textId="77777777" w:rsidR="007B00AC" w:rsidRPr="007B00AC" w:rsidRDefault="007B00AC" w:rsidP="007B00AC">
            <w:pPr>
              <w:suppressAutoHyphens w:val="0"/>
              <w:jc w:val="center"/>
            </w:pPr>
            <w:r w:rsidRPr="007B00AC">
              <w:t>LICBT requires someone to be motivated to make changes in the here and now.</w:t>
            </w:r>
          </w:p>
        </w:tc>
        <w:tc>
          <w:tcPr>
            <w:tcW w:w="3005" w:type="dxa"/>
            <w:shd w:val="clear" w:color="auto" w:fill="DAE9F7" w:themeFill="text2" w:themeFillTint="1A"/>
          </w:tcPr>
          <w:p w14:paraId="21534B7F" w14:textId="77777777" w:rsidR="007B00AC" w:rsidRPr="007B00AC" w:rsidRDefault="007B00AC" w:rsidP="007B00AC">
            <w:pPr>
              <w:suppressAutoHyphens w:val="0"/>
              <w:jc w:val="center"/>
            </w:pPr>
          </w:p>
        </w:tc>
        <w:tc>
          <w:tcPr>
            <w:tcW w:w="3624" w:type="dxa"/>
            <w:shd w:val="clear" w:color="auto" w:fill="DAE9F7" w:themeFill="text2" w:themeFillTint="1A"/>
          </w:tcPr>
          <w:p w14:paraId="13841C8F" w14:textId="372CD72D" w:rsidR="007B00AC" w:rsidRPr="007B00AC" w:rsidRDefault="007B00AC" w:rsidP="007B00AC">
            <w:pPr>
              <w:suppressAutoHyphens w:val="0"/>
              <w:jc w:val="center"/>
            </w:pPr>
            <w:r w:rsidRPr="007B00AC">
              <w:t>CYP and/or Parent is not m</w:t>
            </w:r>
            <w:r>
              <w:t>o</w:t>
            </w:r>
            <w:r w:rsidRPr="007B00AC">
              <w:t>tivated to change.</w:t>
            </w:r>
          </w:p>
        </w:tc>
      </w:tr>
      <w:tr w:rsidR="007B00AC" w:rsidRPr="007B00AC" w14:paraId="2B40A8F9" w14:textId="77777777" w:rsidTr="007B00AC">
        <w:tc>
          <w:tcPr>
            <w:tcW w:w="3436" w:type="dxa"/>
            <w:shd w:val="clear" w:color="auto" w:fill="DAE9F7" w:themeFill="text2" w:themeFillTint="1A"/>
          </w:tcPr>
          <w:p w14:paraId="47369B9D" w14:textId="77777777" w:rsidR="007B00AC" w:rsidRPr="007B00AC" w:rsidRDefault="007B00AC" w:rsidP="007B00AC">
            <w:pPr>
              <w:suppressAutoHyphens w:val="0"/>
              <w:jc w:val="center"/>
            </w:pPr>
          </w:p>
        </w:tc>
        <w:tc>
          <w:tcPr>
            <w:tcW w:w="3005" w:type="dxa"/>
            <w:shd w:val="clear" w:color="auto" w:fill="DAE9F7" w:themeFill="text2" w:themeFillTint="1A"/>
          </w:tcPr>
          <w:p w14:paraId="14FCB486" w14:textId="77777777" w:rsidR="007B00AC" w:rsidRPr="007B00AC" w:rsidRDefault="007B00AC" w:rsidP="007B00AC">
            <w:pPr>
              <w:suppressAutoHyphens w:val="0"/>
              <w:jc w:val="center"/>
            </w:pPr>
          </w:p>
        </w:tc>
        <w:tc>
          <w:tcPr>
            <w:tcW w:w="3624" w:type="dxa"/>
            <w:shd w:val="clear" w:color="auto" w:fill="DAE9F7" w:themeFill="text2" w:themeFillTint="1A"/>
          </w:tcPr>
          <w:p w14:paraId="3DA62E07" w14:textId="761EC2FA" w:rsidR="007B00AC" w:rsidRPr="007B00AC" w:rsidRDefault="007B00AC" w:rsidP="007B00AC">
            <w:pPr>
              <w:suppressAutoHyphens w:val="0"/>
              <w:jc w:val="center"/>
            </w:pPr>
            <w:r w:rsidRPr="007B00AC">
              <w:t xml:space="preserve">CYP and/or Parent has additional agencies actively involved and </w:t>
            </w:r>
            <w:r w:rsidR="003972FE">
              <w:t xml:space="preserve">are </w:t>
            </w:r>
            <w:r w:rsidRPr="007B00AC">
              <w:t>providing therapeutic support.</w:t>
            </w:r>
          </w:p>
        </w:tc>
      </w:tr>
      <w:tr w:rsidR="007B00AC" w:rsidRPr="007B00AC" w14:paraId="35CCBEB3" w14:textId="77777777" w:rsidTr="007B00AC">
        <w:tc>
          <w:tcPr>
            <w:tcW w:w="3436" w:type="dxa"/>
            <w:shd w:val="clear" w:color="auto" w:fill="DAE9F7" w:themeFill="text2" w:themeFillTint="1A"/>
          </w:tcPr>
          <w:p w14:paraId="6A9F178B" w14:textId="77777777" w:rsidR="007B00AC" w:rsidRPr="007B00AC" w:rsidRDefault="007B00AC" w:rsidP="007B00AC">
            <w:pPr>
              <w:suppressAutoHyphens w:val="0"/>
              <w:jc w:val="center"/>
            </w:pPr>
          </w:p>
        </w:tc>
        <w:tc>
          <w:tcPr>
            <w:tcW w:w="3005" w:type="dxa"/>
            <w:shd w:val="clear" w:color="auto" w:fill="DAE9F7" w:themeFill="text2" w:themeFillTint="1A"/>
          </w:tcPr>
          <w:p w14:paraId="74572D73" w14:textId="77777777" w:rsidR="007B00AC" w:rsidRPr="007B00AC" w:rsidRDefault="007B00AC" w:rsidP="007B00AC">
            <w:pPr>
              <w:suppressAutoHyphens w:val="0"/>
              <w:jc w:val="center"/>
            </w:pPr>
          </w:p>
        </w:tc>
        <w:tc>
          <w:tcPr>
            <w:tcW w:w="3624" w:type="dxa"/>
            <w:shd w:val="clear" w:color="auto" w:fill="DAE9F7" w:themeFill="text2" w:themeFillTint="1A"/>
          </w:tcPr>
          <w:p w14:paraId="4F777B94" w14:textId="11D7B14D" w:rsidR="007B00AC" w:rsidRPr="007B00AC" w:rsidRDefault="007B00AC" w:rsidP="007B00AC">
            <w:pPr>
              <w:suppressAutoHyphens w:val="0"/>
              <w:jc w:val="center"/>
            </w:pPr>
            <w:r w:rsidRPr="007B00AC">
              <w:t xml:space="preserve">Significant/recurrent previous history of suicide with plans and/or suicide attempt within previous </w:t>
            </w:r>
            <w:r w:rsidR="003972FE">
              <w:t>3</w:t>
            </w:r>
            <w:r w:rsidRPr="007B00AC">
              <w:t xml:space="preserve"> months.</w:t>
            </w:r>
          </w:p>
        </w:tc>
      </w:tr>
      <w:tr w:rsidR="007B00AC" w:rsidRPr="007B00AC" w14:paraId="5EA89C18" w14:textId="77777777" w:rsidTr="007B00AC">
        <w:tc>
          <w:tcPr>
            <w:tcW w:w="3436" w:type="dxa"/>
            <w:shd w:val="clear" w:color="auto" w:fill="DAE9F7" w:themeFill="text2" w:themeFillTint="1A"/>
          </w:tcPr>
          <w:p w14:paraId="0ABC9C04" w14:textId="77777777" w:rsidR="007B00AC" w:rsidRPr="007B00AC" w:rsidRDefault="007B00AC" w:rsidP="007B00AC">
            <w:pPr>
              <w:suppressAutoHyphens w:val="0"/>
              <w:jc w:val="center"/>
            </w:pPr>
          </w:p>
        </w:tc>
        <w:tc>
          <w:tcPr>
            <w:tcW w:w="3005" w:type="dxa"/>
            <w:shd w:val="clear" w:color="auto" w:fill="DAE9F7" w:themeFill="text2" w:themeFillTint="1A"/>
          </w:tcPr>
          <w:p w14:paraId="00BA07C5" w14:textId="77777777" w:rsidR="007B00AC" w:rsidRPr="007B00AC" w:rsidRDefault="007B00AC" w:rsidP="007B00AC">
            <w:pPr>
              <w:suppressAutoHyphens w:val="0"/>
              <w:jc w:val="center"/>
            </w:pPr>
          </w:p>
        </w:tc>
        <w:tc>
          <w:tcPr>
            <w:tcW w:w="3624" w:type="dxa"/>
            <w:shd w:val="clear" w:color="auto" w:fill="DAE9F7" w:themeFill="text2" w:themeFillTint="1A"/>
          </w:tcPr>
          <w:p w14:paraId="7BC8BA86" w14:textId="1A95A3DF" w:rsidR="007B00AC" w:rsidRPr="007B00AC" w:rsidRDefault="007B00AC" w:rsidP="007B00AC">
            <w:pPr>
              <w:suppressAutoHyphens w:val="0"/>
              <w:jc w:val="center"/>
            </w:pPr>
            <w:r w:rsidRPr="007B00AC">
              <w:t xml:space="preserve">Current self-harm is regular and significant requiring treatment more than once in the last </w:t>
            </w:r>
            <w:r w:rsidR="003972FE">
              <w:t>3</w:t>
            </w:r>
            <w:r w:rsidRPr="007B00AC">
              <w:t xml:space="preserve"> months OR self-harm is significant and unpredictable. </w:t>
            </w:r>
          </w:p>
        </w:tc>
      </w:tr>
      <w:tr w:rsidR="007B00AC" w:rsidRPr="007B00AC" w14:paraId="0524E581" w14:textId="77777777" w:rsidTr="007B00AC">
        <w:tc>
          <w:tcPr>
            <w:tcW w:w="3436" w:type="dxa"/>
            <w:shd w:val="clear" w:color="auto" w:fill="DAE9F7" w:themeFill="text2" w:themeFillTint="1A"/>
          </w:tcPr>
          <w:p w14:paraId="05791C04" w14:textId="77777777" w:rsidR="007B00AC" w:rsidRPr="007B00AC" w:rsidRDefault="007B00AC" w:rsidP="007B00AC">
            <w:pPr>
              <w:suppressAutoHyphens w:val="0"/>
              <w:jc w:val="center"/>
            </w:pPr>
          </w:p>
        </w:tc>
        <w:tc>
          <w:tcPr>
            <w:tcW w:w="3005" w:type="dxa"/>
            <w:shd w:val="clear" w:color="auto" w:fill="DAE9F7" w:themeFill="text2" w:themeFillTint="1A"/>
          </w:tcPr>
          <w:p w14:paraId="12346A05" w14:textId="77777777" w:rsidR="007B00AC" w:rsidRPr="007B00AC" w:rsidRDefault="007B00AC" w:rsidP="007B00AC">
            <w:pPr>
              <w:suppressAutoHyphens w:val="0"/>
              <w:jc w:val="center"/>
            </w:pPr>
          </w:p>
        </w:tc>
        <w:tc>
          <w:tcPr>
            <w:tcW w:w="3624" w:type="dxa"/>
            <w:shd w:val="clear" w:color="auto" w:fill="DAE9F7" w:themeFill="text2" w:themeFillTint="1A"/>
          </w:tcPr>
          <w:p w14:paraId="7FD40DDD" w14:textId="454026E9" w:rsidR="007B00AC" w:rsidRPr="007B00AC" w:rsidRDefault="007B00AC" w:rsidP="007B00AC">
            <w:pPr>
              <w:suppressAutoHyphens w:val="0"/>
              <w:jc w:val="center"/>
            </w:pPr>
            <w:r w:rsidRPr="007B00AC">
              <w:t xml:space="preserve">Current thoughts of suicide, with plans towards </w:t>
            </w:r>
            <w:r w:rsidR="003972FE" w:rsidRPr="007B00AC">
              <w:t>acting</w:t>
            </w:r>
            <w:r w:rsidRPr="007B00AC">
              <w:t>, that cause significant distress and occur every day.</w:t>
            </w:r>
          </w:p>
        </w:tc>
      </w:tr>
      <w:tr w:rsidR="007B00AC" w:rsidRPr="007B00AC" w14:paraId="6A5738E5" w14:textId="77777777" w:rsidTr="007B00AC">
        <w:tc>
          <w:tcPr>
            <w:tcW w:w="3436" w:type="dxa"/>
            <w:shd w:val="clear" w:color="auto" w:fill="DAE9F7" w:themeFill="text2" w:themeFillTint="1A"/>
          </w:tcPr>
          <w:p w14:paraId="7385300C" w14:textId="77777777" w:rsidR="007B00AC" w:rsidRPr="007B00AC" w:rsidRDefault="007B00AC" w:rsidP="007B00AC">
            <w:pPr>
              <w:suppressAutoHyphens w:val="0"/>
              <w:jc w:val="center"/>
            </w:pPr>
          </w:p>
        </w:tc>
        <w:tc>
          <w:tcPr>
            <w:tcW w:w="3005" w:type="dxa"/>
            <w:shd w:val="clear" w:color="auto" w:fill="DAE9F7" w:themeFill="text2" w:themeFillTint="1A"/>
          </w:tcPr>
          <w:p w14:paraId="57912050" w14:textId="77777777" w:rsidR="007B00AC" w:rsidRPr="007B00AC" w:rsidRDefault="007B00AC" w:rsidP="007B00AC">
            <w:pPr>
              <w:suppressAutoHyphens w:val="0"/>
              <w:jc w:val="center"/>
            </w:pPr>
          </w:p>
        </w:tc>
        <w:tc>
          <w:tcPr>
            <w:tcW w:w="3624" w:type="dxa"/>
            <w:shd w:val="clear" w:color="auto" w:fill="DAE9F7" w:themeFill="text2" w:themeFillTint="1A"/>
          </w:tcPr>
          <w:p w14:paraId="759182E3" w14:textId="77777777" w:rsidR="007B00AC" w:rsidRPr="007B00AC" w:rsidRDefault="007B00AC" w:rsidP="007B00AC">
            <w:pPr>
              <w:suppressAutoHyphens w:val="0"/>
              <w:jc w:val="center"/>
            </w:pPr>
            <w:r w:rsidRPr="007B00AC">
              <w:t>Inflicts current harm to others.</w:t>
            </w:r>
          </w:p>
        </w:tc>
      </w:tr>
      <w:tr w:rsidR="007B00AC" w:rsidRPr="007B00AC" w14:paraId="46DD1E4C" w14:textId="77777777" w:rsidTr="007B00AC">
        <w:tc>
          <w:tcPr>
            <w:tcW w:w="3436" w:type="dxa"/>
            <w:shd w:val="clear" w:color="auto" w:fill="DAE9F7" w:themeFill="text2" w:themeFillTint="1A"/>
          </w:tcPr>
          <w:p w14:paraId="2F2EA1E7" w14:textId="77777777" w:rsidR="007B00AC" w:rsidRPr="007B00AC" w:rsidRDefault="007B00AC" w:rsidP="007B00AC">
            <w:pPr>
              <w:suppressAutoHyphens w:val="0"/>
              <w:jc w:val="center"/>
            </w:pPr>
          </w:p>
        </w:tc>
        <w:tc>
          <w:tcPr>
            <w:tcW w:w="3005" w:type="dxa"/>
            <w:shd w:val="clear" w:color="auto" w:fill="DAE9F7" w:themeFill="text2" w:themeFillTint="1A"/>
          </w:tcPr>
          <w:p w14:paraId="2B05E64C" w14:textId="77777777" w:rsidR="007B00AC" w:rsidRPr="007B00AC" w:rsidRDefault="007B00AC" w:rsidP="007B00AC">
            <w:pPr>
              <w:suppressAutoHyphens w:val="0"/>
              <w:jc w:val="center"/>
            </w:pPr>
          </w:p>
        </w:tc>
        <w:tc>
          <w:tcPr>
            <w:tcW w:w="3624" w:type="dxa"/>
            <w:shd w:val="clear" w:color="auto" w:fill="DAE9F7" w:themeFill="text2" w:themeFillTint="1A"/>
          </w:tcPr>
          <w:p w14:paraId="1C60C11C" w14:textId="77777777" w:rsidR="007B00AC" w:rsidRPr="007B00AC" w:rsidRDefault="007B00AC" w:rsidP="007B00AC">
            <w:pPr>
              <w:suppressAutoHyphens w:val="0"/>
              <w:jc w:val="center"/>
            </w:pPr>
            <w:r w:rsidRPr="007B00AC">
              <w:t>Current harm from peers and/or current physical harm from conflictual family relationships.</w:t>
            </w:r>
          </w:p>
        </w:tc>
      </w:tr>
      <w:tr w:rsidR="007B00AC" w:rsidRPr="007B00AC" w14:paraId="2C6AB162" w14:textId="77777777" w:rsidTr="007B00AC">
        <w:tc>
          <w:tcPr>
            <w:tcW w:w="3436" w:type="dxa"/>
            <w:shd w:val="clear" w:color="auto" w:fill="DAE9F7" w:themeFill="text2" w:themeFillTint="1A"/>
          </w:tcPr>
          <w:p w14:paraId="2BE01C42" w14:textId="77777777" w:rsidR="007B00AC" w:rsidRPr="007B00AC" w:rsidRDefault="007B00AC" w:rsidP="007B00AC">
            <w:pPr>
              <w:suppressAutoHyphens w:val="0"/>
              <w:jc w:val="center"/>
            </w:pPr>
          </w:p>
        </w:tc>
        <w:tc>
          <w:tcPr>
            <w:tcW w:w="3005" w:type="dxa"/>
            <w:shd w:val="clear" w:color="auto" w:fill="DAE9F7" w:themeFill="text2" w:themeFillTint="1A"/>
          </w:tcPr>
          <w:p w14:paraId="4FA8D0DD" w14:textId="77777777" w:rsidR="007B00AC" w:rsidRPr="007B00AC" w:rsidRDefault="007B00AC" w:rsidP="007B00AC">
            <w:pPr>
              <w:suppressAutoHyphens w:val="0"/>
              <w:jc w:val="center"/>
            </w:pPr>
          </w:p>
        </w:tc>
        <w:tc>
          <w:tcPr>
            <w:tcW w:w="3624" w:type="dxa"/>
            <w:shd w:val="clear" w:color="auto" w:fill="DAE9F7" w:themeFill="text2" w:themeFillTint="1A"/>
          </w:tcPr>
          <w:p w14:paraId="1A6193AA" w14:textId="1EF6FA3C" w:rsidR="007B00AC" w:rsidRPr="007B00AC" w:rsidRDefault="007B00AC" w:rsidP="007B00AC">
            <w:pPr>
              <w:suppressAutoHyphens w:val="0"/>
              <w:jc w:val="center"/>
            </w:pPr>
            <w:r w:rsidRPr="007B00AC">
              <w:t>Significant difficulties with routine self-care if independent</w:t>
            </w:r>
            <w:r>
              <w:t xml:space="preserve">, </w:t>
            </w:r>
            <w:r w:rsidRPr="007B00AC">
              <w:t>or from caregivers if not. Shows signs of neglect (exhaustion, poor hygiene, malnourished etc.)</w:t>
            </w:r>
          </w:p>
        </w:tc>
      </w:tr>
      <w:tr w:rsidR="007B00AC" w:rsidRPr="007B00AC" w14:paraId="1CE2BA39" w14:textId="77777777" w:rsidTr="007B00AC">
        <w:tc>
          <w:tcPr>
            <w:tcW w:w="3436" w:type="dxa"/>
            <w:shd w:val="clear" w:color="auto" w:fill="DAE9F7" w:themeFill="text2" w:themeFillTint="1A"/>
          </w:tcPr>
          <w:p w14:paraId="1423C12A" w14:textId="77777777" w:rsidR="007B00AC" w:rsidRPr="007B00AC" w:rsidRDefault="007B00AC" w:rsidP="007B00AC">
            <w:pPr>
              <w:suppressAutoHyphens w:val="0"/>
              <w:jc w:val="center"/>
            </w:pPr>
          </w:p>
        </w:tc>
        <w:tc>
          <w:tcPr>
            <w:tcW w:w="3005" w:type="dxa"/>
            <w:shd w:val="clear" w:color="auto" w:fill="DAE9F7" w:themeFill="text2" w:themeFillTint="1A"/>
          </w:tcPr>
          <w:p w14:paraId="3AB62374" w14:textId="77777777" w:rsidR="007B00AC" w:rsidRPr="007B00AC" w:rsidRDefault="007B00AC" w:rsidP="007B00AC">
            <w:pPr>
              <w:suppressAutoHyphens w:val="0"/>
              <w:jc w:val="center"/>
            </w:pPr>
          </w:p>
        </w:tc>
        <w:tc>
          <w:tcPr>
            <w:tcW w:w="3624" w:type="dxa"/>
            <w:shd w:val="clear" w:color="auto" w:fill="DAE9F7" w:themeFill="text2" w:themeFillTint="1A"/>
          </w:tcPr>
          <w:p w14:paraId="787ADFA5" w14:textId="2F5CAD3D" w:rsidR="007B00AC" w:rsidRPr="007B00AC" w:rsidRDefault="007B00AC" w:rsidP="007B00AC">
            <w:pPr>
              <w:suppressAutoHyphens w:val="0"/>
              <w:jc w:val="center"/>
            </w:pPr>
            <w:r w:rsidRPr="007B00AC">
              <w:t xml:space="preserve">Use </w:t>
            </w:r>
            <w:r>
              <w:t xml:space="preserve">of </w:t>
            </w:r>
            <w:r w:rsidRPr="007B00AC">
              <w:t xml:space="preserve">substances on a regular basis and/or parent is dependent on substance and using to intoxication. </w:t>
            </w:r>
          </w:p>
        </w:tc>
      </w:tr>
    </w:tbl>
    <w:p w14:paraId="0AC4B669" w14:textId="5BB15CC7" w:rsidR="00AD0EFD" w:rsidRDefault="00AD0EFD" w:rsidP="00825289">
      <w:pPr>
        <w:jc w:val="center"/>
      </w:pPr>
    </w:p>
    <w:p w14:paraId="0AC4B66A" w14:textId="2B92E39C" w:rsidR="00AD0EFD" w:rsidRDefault="00AD0EFD" w:rsidP="00825289">
      <w:pPr>
        <w:jc w:val="center"/>
      </w:pPr>
    </w:p>
    <w:p w14:paraId="0AC4B670" w14:textId="3D32AC44" w:rsidR="00AD0EFD" w:rsidRDefault="00AD0EFD"/>
    <w:sectPr w:rsidR="00AD0EFD">
      <w:headerReference w:type="default" r:id="rId8"/>
      <w:footerReference w:type="default" r:id="rId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516FD" w14:textId="77777777" w:rsidR="009E3AA1" w:rsidRDefault="009E3AA1">
      <w:pPr>
        <w:spacing w:after="0" w:line="240" w:lineRule="auto"/>
      </w:pPr>
      <w:r>
        <w:separator/>
      </w:r>
    </w:p>
  </w:endnote>
  <w:endnote w:type="continuationSeparator" w:id="0">
    <w:p w14:paraId="60EDB151" w14:textId="77777777" w:rsidR="009E3AA1" w:rsidRDefault="009E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4B667" w14:textId="77777777" w:rsidR="00066C2F" w:rsidRDefault="00066C2F">
    <w:pPr>
      <w:pStyle w:val="Footer"/>
    </w:pPr>
    <w:r>
      <w:rPr>
        <w:noProof/>
        <w:vertAlign w:val="subscript"/>
      </w:rPr>
      <w:drawing>
        <wp:anchor distT="0" distB="0" distL="114300" distR="114300" simplePos="0" relativeHeight="251661312" behindDoc="0" locked="0" layoutInCell="1" allowOverlap="1" wp14:anchorId="0AC4B65F" wp14:editId="0AC4B660">
          <wp:simplePos x="0" y="0"/>
          <wp:positionH relativeFrom="column">
            <wp:posOffset>-739136</wp:posOffset>
          </wp:positionH>
          <wp:positionV relativeFrom="paragraph">
            <wp:posOffset>-137160</wp:posOffset>
          </wp:positionV>
          <wp:extent cx="7484107" cy="742950"/>
          <wp:effectExtent l="0" t="0" r="0" b="0"/>
          <wp:wrapTight wrapText="bothSides">
            <wp:wrapPolygon edited="0">
              <wp:start x="17044" y="1662"/>
              <wp:lineTo x="6103" y="8862"/>
              <wp:lineTo x="6158" y="13292"/>
              <wp:lineTo x="14350" y="20492"/>
              <wp:lineTo x="15834" y="21046"/>
              <wp:lineTo x="21387" y="21046"/>
              <wp:lineTo x="21387" y="1662"/>
              <wp:lineTo x="17044" y="1662"/>
            </wp:wrapPolygon>
          </wp:wrapTight>
          <wp:docPr id="175864966" name="Picture 186672545" descr="A black screen with a white key&#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92853"/>
                  <a:stretch>
                    <a:fillRect/>
                  </a:stretch>
                </pic:blipFill>
                <pic:spPr>
                  <a:xfrm>
                    <a:off x="0" y="0"/>
                    <a:ext cx="7484107" cy="742950"/>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A0D58" w14:textId="77777777" w:rsidR="009E3AA1" w:rsidRDefault="009E3AA1">
      <w:pPr>
        <w:spacing w:after="0" w:line="240" w:lineRule="auto"/>
      </w:pPr>
      <w:r>
        <w:rPr>
          <w:color w:val="000000"/>
        </w:rPr>
        <w:separator/>
      </w:r>
    </w:p>
  </w:footnote>
  <w:footnote w:type="continuationSeparator" w:id="0">
    <w:p w14:paraId="15B1ED62" w14:textId="77777777" w:rsidR="009E3AA1" w:rsidRDefault="009E3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B0405" w14:textId="42ECCECF" w:rsidR="0064509A" w:rsidRDefault="0064509A">
    <w:pPr>
      <w:pStyle w:val="Header"/>
    </w:pPr>
    <w:r>
      <w:rPr>
        <w:noProof/>
        <w:vertAlign w:val="subscript"/>
      </w:rPr>
      <w:drawing>
        <wp:anchor distT="0" distB="0" distL="114300" distR="114300" simplePos="0" relativeHeight="251659264" behindDoc="0" locked="0" layoutInCell="1" allowOverlap="1" wp14:anchorId="0AC4B65D" wp14:editId="16ECF7AD">
          <wp:simplePos x="0" y="0"/>
          <wp:positionH relativeFrom="page">
            <wp:posOffset>-173990</wp:posOffset>
          </wp:positionH>
          <wp:positionV relativeFrom="paragraph">
            <wp:posOffset>-448945</wp:posOffset>
          </wp:positionV>
          <wp:extent cx="7731760" cy="1695450"/>
          <wp:effectExtent l="0" t="0" r="2540" b="0"/>
          <wp:wrapTight wrapText="bothSides">
            <wp:wrapPolygon edited="0">
              <wp:start x="0" y="0"/>
              <wp:lineTo x="0" y="18688"/>
              <wp:lineTo x="1277" y="19658"/>
              <wp:lineTo x="1703" y="20872"/>
              <wp:lineTo x="1809" y="21357"/>
              <wp:lineTo x="2235" y="21357"/>
              <wp:lineTo x="2342" y="20872"/>
              <wp:lineTo x="2767" y="19416"/>
              <wp:lineTo x="5269" y="19416"/>
              <wp:lineTo x="7238" y="17717"/>
              <wp:lineTo x="7185" y="15533"/>
              <wp:lineTo x="7504" y="15533"/>
              <wp:lineTo x="16498" y="11892"/>
              <wp:lineTo x="16498" y="11649"/>
              <wp:lineTo x="21554" y="10679"/>
              <wp:lineTo x="21554" y="0"/>
              <wp:lineTo x="0" y="0"/>
            </wp:wrapPolygon>
          </wp:wrapTight>
          <wp:docPr id="1350169312" name="Picture 1" descr="A black screen with a white key&#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b="84206"/>
                  <a:stretch>
                    <a:fillRect/>
                  </a:stretch>
                </pic:blipFill>
                <pic:spPr>
                  <a:xfrm>
                    <a:off x="0" y="0"/>
                    <a:ext cx="7731760" cy="1695450"/>
                  </a:xfrm>
                  <a:prstGeom prst="rect">
                    <a:avLst/>
                  </a:prstGeom>
                  <a:noFill/>
                  <a:ln>
                    <a:noFill/>
                    <a:prstDash/>
                  </a:ln>
                </pic:spPr>
              </pic:pic>
            </a:graphicData>
          </a:graphic>
        </wp:anchor>
      </w:drawing>
    </w:r>
  </w:p>
  <w:p w14:paraId="11073E7D" w14:textId="77777777" w:rsidR="0064509A" w:rsidRDefault="0064509A">
    <w:pPr>
      <w:pStyle w:val="Header"/>
    </w:pPr>
  </w:p>
  <w:p w14:paraId="613D8E3B" w14:textId="77777777" w:rsidR="00825289" w:rsidRDefault="00825289" w:rsidP="0064509A">
    <w:pPr>
      <w:rPr>
        <w:b/>
        <w:bCs/>
        <w:sz w:val="24"/>
        <w:szCs w:val="24"/>
        <w:u w:val="single"/>
      </w:rPr>
    </w:pPr>
  </w:p>
  <w:p w14:paraId="5DF4F675" w14:textId="5B86E64A" w:rsidR="0064509A" w:rsidRPr="00066C2F" w:rsidRDefault="49A0FE5B" w:rsidP="0064509A">
    <w:pPr>
      <w:rPr>
        <w:b/>
        <w:bCs/>
        <w:sz w:val="24"/>
        <w:szCs w:val="24"/>
        <w:u w:val="single"/>
      </w:rPr>
    </w:pPr>
    <w:r w:rsidRPr="49A0FE5B">
      <w:rPr>
        <w:b/>
        <w:bCs/>
        <w:sz w:val="24"/>
        <w:szCs w:val="24"/>
        <w:u w:val="single"/>
      </w:rPr>
      <w:t>Professionals Guide for CWP Mental Health Support referrals</w:t>
    </w:r>
  </w:p>
  <w:p w14:paraId="0AC4B665" w14:textId="077F8A64" w:rsidR="00066C2F" w:rsidRDefault="00066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56DD9"/>
    <w:multiLevelType w:val="multilevel"/>
    <w:tmpl w:val="D64A7B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3226B6E"/>
    <w:multiLevelType w:val="hybridMultilevel"/>
    <w:tmpl w:val="9CDE5C7E"/>
    <w:lvl w:ilvl="0" w:tplc="7D8865AA">
      <w:numFmt w:val="bullet"/>
      <w:lvlText w:val="-"/>
      <w:lvlJc w:val="left"/>
      <w:pPr>
        <w:ind w:left="1080" w:hanging="360"/>
      </w:pPr>
      <w:rPr>
        <w:rFonts w:ascii="Aptos" w:eastAsia="Aptos" w:hAnsi="Apto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3842840">
    <w:abstractNumId w:val="0"/>
  </w:num>
  <w:num w:numId="2" w16cid:durableId="1867523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EFD"/>
    <w:rsid w:val="00066C2F"/>
    <w:rsid w:val="00122B7A"/>
    <w:rsid w:val="0019196B"/>
    <w:rsid w:val="003972FE"/>
    <w:rsid w:val="0064509A"/>
    <w:rsid w:val="006C1A64"/>
    <w:rsid w:val="007B00AC"/>
    <w:rsid w:val="00825289"/>
    <w:rsid w:val="008A1BAD"/>
    <w:rsid w:val="008C019D"/>
    <w:rsid w:val="008E49ED"/>
    <w:rsid w:val="009028A7"/>
    <w:rsid w:val="009335DC"/>
    <w:rsid w:val="0094377D"/>
    <w:rsid w:val="009E3AA1"/>
    <w:rsid w:val="00AC231A"/>
    <w:rsid w:val="00AD0EFD"/>
    <w:rsid w:val="00AE46BA"/>
    <w:rsid w:val="00B078F4"/>
    <w:rsid w:val="00BA60F6"/>
    <w:rsid w:val="00C624AA"/>
    <w:rsid w:val="00DB4E16"/>
    <w:rsid w:val="00E11756"/>
    <w:rsid w:val="00E4224B"/>
    <w:rsid w:val="00FC667E"/>
    <w:rsid w:val="03417D24"/>
    <w:rsid w:val="06419111"/>
    <w:rsid w:val="0815B3F2"/>
    <w:rsid w:val="093FB269"/>
    <w:rsid w:val="0C4FB611"/>
    <w:rsid w:val="14399F11"/>
    <w:rsid w:val="1499FABA"/>
    <w:rsid w:val="1BEF029C"/>
    <w:rsid w:val="1F3A95D4"/>
    <w:rsid w:val="1F67A2E9"/>
    <w:rsid w:val="2A222884"/>
    <w:rsid w:val="2A9B719E"/>
    <w:rsid w:val="439F8A6C"/>
    <w:rsid w:val="49A0FE5B"/>
    <w:rsid w:val="51CD49FB"/>
    <w:rsid w:val="5433A222"/>
    <w:rsid w:val="55401DD2"/>
    <w:rsid w:val="5708F7AE"/>
    <w:rsid w:val="573DD7ED"/>
    <w:rsid w:val="579D9530"/>
    <w:rsid w:val="59881733"/>
    <w:rsid w:val="5B740265"/>
    <w:rsid w:val="5EF14F81"/>
    <w:rsid w:val="5F5F17BE"/>
    <w:rsid w:val="64B9A6B2"/>
    <w:rsid w:val="6633271A"/>
    <w:rsid w:val="66A2FF6E"/>
    <w:rsid w:val="725BE799"/>
    <w:rsid w:val="74D9C80F"/>
    <w:rsid w:val="7D80F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4B659"/>
  <w15:docId w15:val="{77491F17-BB07-4B80-89C3-471CBE55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table" w:styleId="TableGrid">
    <w:name w:val="Table Grid"/>
    <w:basedOn w:val="TableNormal"/>
    <w:uiPriority w:val="39"/>
    <w:rsid w:val="007B00AC"/>
    <w:pPr>
      <w:autoSpaceDN/>
      <w:spacing w:after="0" w:line="240" w:lineRule="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rnwall.gov.uk/health-and-social-care/childrens-services/early-he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880</Words>
  <Characters>5018</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Prinold</dc:creator>
  <dc:description/>
  <cp:lastModifiedBy>Laura Prinold</cp:lastModifiedBy>
  <cp:revision>7</cp:revision>
  <dcterms:created xsi:type="dcterms:W3CDTF">2024-09-11T09:27:00Z</dcterms:created>
  <dcterms:modified xsi:type="dcterms:W3CDTF">2024-09-19T14:02:00Z</dcterms:modified>
</cp:coreProperties>
</file>